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Nadawca</w:t>
        <w:tab/>
        <w:tab/>
        <w:tab/>
        <w:tab/>
        <w:tab/>
        <w:t xml:space="preserve">miejscowość, …. 2026 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0" w:line="240" w:lineRule="auto"/>
        <w:ind w:left="4962" w:firstLine="0"/>
        <w:rPr>
          <w:b w:val="1"/>
          <w:bCs w:val="1"/>
        </w:rPr>
      </w:pPr>
      <w:r w:rsidDel="00000000" w:rsidR="00000000" w:rsidRPr="00000000">
        <w:rPr>
          <w:b w:val="1"/>
          <w:bCs w:val="1"/>
          <w:rtl w:val="0"/>
        </w:rPr>
        <w:t xml:space="preserve">Adresat</w:t>
      </w:r>
    </w:p>
    <w:p w:rsidR="00000000" w:rsidDel="00000000" w:rsidP="00000000" w:rsidRDefault="00000000" w:rsidRPr="00000000" w14:paraId="00000004">
      <w:pPr>
        <w:spacing w:after="0" w:line="240" w:lineRule="auto"/>
        <w:ind w:left="4962" w:firstLine="0"/>
        <w:rPr>
          <w:b w:val="1"/>
          <w:bCs w:val="1"/>
        </w:rPr>
      </w:pPr>
      <w:r w:rsidDel="00000000" w:rsidR="00000000" w:rsidRPr="00000000">
        <w:rPr>
          <w:b w:val="1"/>
          <w:bCs w:val="1"/>
          <w:rtl w:val="0"/>
        </w:rPr>
        <w:t xml:space="preserve">Urząd Miasta/Gminy</w:t>
      </w:r>
    </w:p>
    <w:p w:rsidR="00000000" w:rsidDel="00000000" w:rsidP="00000000" w:rsidRDefault="00000000" w:rsidRPr="00000000" w14:paraId="00000005">
      <w:pPr>
        <w:spacing w:after="0" w:line="240" w:lineRule="auto"/>
        <w:ind w:left="4962" w:firstLine="0"/>
        <w:rPr>
          <w:b w:val="1"/>
          <w:bCs w:val="1"/>
        </w:rPr>
      </w:pPr>
      <w:r w:rsidDel="00000000" w:rsidR="00000000" w:rsidRPr="00000000">
        <w:rPr>
          <w:rtl w:val="0"/>
        </w:rPr>
      </w:r>
    </w:p>
    <w:p w:rsidR="00000000" w:rsidDel="00000000" w:rsidP="00000000" w:rsidRDefault="00000000" w:rsidRPr="00000000" w14:paraId="00000006">
      <w:pPr>
        <w:spacing w:after="0" w:before="120" w:line="240" w:lineRule="auto"/>
        <w:jc w:val="both"/>
        <w:rPr/>
      </w:pPr>
      <w:r w:rsidDel="00000000" w:rsidR="00000000" w:rsidRPr="00000000">
        <w:rPr>
          <w:rtl w:val="0"/>
        </w:rPr>
      </w:r>
    </w:p>
    <w:p w:rsidR="00000000" w:rsidDel="00000000" w:rsidP="00000000" w:rsidRDefault="00000000" w:rsidRPr="00000000" w14:paraId="00000007">
      <w:pPr>
        <w:spacing w:after="0" w:before="120" w:line="240" w:lineRule="auto"/>
        <w:jc w:val="both"/>
        <w:rPr/>
      </w:pPr>
      <w:r w:rsidDel="00000000" w:rsidR="00000000" w:rsidRPr="00000000">
        <w:rPr>
          <w:rtl w:val="0"/>
        </w:rPr>
        <w:t xml:space="preserve">(Nadawca) wnosi o podjęcie działań, zgodnie z przepisami prawa i według kompetencji, w celu usunięcia odpadów na działce nr (...) w m. (...). Działka ta położona jest na terenie  (opisać uwarunkowania przyszornicze i środowiskowe - czy to na formach ochrony przyrody? Jakich? Czy w terenie zalewowym? itp).</w:t>
      </w:r>
    </w:p>
    <w:p w:rsidR="00000000" w:rsidDel="00000000" w:rsidP="00000000" w:rsidRDefault="00000000" w:rsidRPr="00000000" w14:paraId="00000008">
      <w:pPr>
        <w:spacing w:after="0" w:before="120" w:line="240" w:lineRule="auto"/>
        <w:jc w:val="both"/>
        <w:rPr/>
      </w:pPr>
      <w:r w:rsidDel="00000000" w:rsidR="00000000" w:rsidRPr="00000000">
        <w:rPr>
          <w:rtl w:val="0"/>
        </w:rPr>
        <w:t xml:space="preserve">W myśl zapisów art. 26 ust. 1 ustawy z dnia 14 grudnia 2012 r. o odpadach (</w:t>
      </w:r>
      <w:r w:rsidDel="00000000" w:rsidR="00000000" w:rsidRPr="00000000">
        <w:rPr>
          <w:highlight w:val="yellow"/>
          <w:rtl w:val="0"/>
        </w:rPr>
        <w:t xml:space="preserve">Dz. U. z 2023 r. poz. 1587 ze zm.</w:t>
      </w:r>
      <w:r w:rsidDel="00000000" w:rsidR="00000000" w:rsidRPr="00000000">
        <w:rPr>
          <w:rtl w:val="0"/>
        </w:rPr>
        <w:t xml:space="preserve">) [dalej: ustawa o odpadach], posiadacz odpadów jest obowiązany do niezwłocznego usunięcia odpadów z miejsca nieprzeznaczonego do ich składowania lub magazynowania. Natomiast zgodnie z art. 26 ust. 2 ww. ustawy w przypadku nieusunięcia odpadów, wójt, burmistrz lub prezydent miasta, w drodze decyzji wydawanej z urzędu, nakazuje posiadaczowi odpadów usunięcie odpadów z miejsca nieprzeznaczonego do ich składowania lub magazynowania, za wyjątkiem gdy obowiązek usunięcia odpadów jest skutkiem wydania decyzji o cofnięciu decyzji związanej z gospodarką odpadami, stwierdzenia nieważności, uchylenia lub wygaśnięcia decyzji związanej z gospodarką odpadami.</w:t>
      </w:r>
    </w:p>
    <w:p w:rsidR="00000000" w:rsidDel="00000000" w:rsidP="00000000" w:rsidRDefault="00000000" w:rsidRPr="00000000" w14:paraId="00000009">
      <w:pPr>
        <w:spacing w:after="0" w:before="120" w:line="240" w:lineRule="auto"/>
        <w:jc w:val="both"/>
        <w:rPr/>
      </w:pPr>
      <w:r w:rsidDel="00000000" w:rsidR="00000000" w:rsidRPr="00000000">
        <w:rPr>
          <w:rtl w:val="0"/>
        </w:rPr>
        <w:t xml:space="preserve">Jednocześnie masy ziemne podlegają pod przepisy ustawy o odpadach, z wyjątkiem „niezanieczyszczonej gleby i innych materiałów występujących w stanie naturalnym, wydobytych w trakcie robót budowlanych, pod warunkiem, że materiał ten zostanie wykorzystany do celów budowlanych w stanie naturalnym na terenie, na którym został wydobyty” (art. 2 pkt 3) ww. ustawy). W przedmiotowym przypadku nie można mówić o pozyskaniu materiału w tym miejscu, a zatem nawiezione masy gruzu i gruntu podlegają zastosowaniu wspomnianego art. 26 ust. 1 i ust. 2 ustawy o odpadach.</w:t>
      </w:r>
    </w:p>
    <w:p w:rsidR="00000000" w:rsidDel="00000000" w:rsidP="00000000" w:rsidRDefault="00000000" w:rsidRPr="00000000" w14:paraId="0000000A">
      <w:pPr>
        <w:spacing w:after="0" w:before="120" w:line="240" w:lineRule="auto"/>
        <w:jc w:val="both"/>
        <w:rPr/>
      </w:pPr>
      <w:r w:rsidDel="00000000" w:rsidR="00000000" w:rsidRPr="00000000">
        <w:rPr>
          <w:rtl w:val="0"/>
        </w:rPr>
        <w:t xml:space="preserve">Ponadto zgodnie z zapisami art. 3 ust. 1 ustawy z dnia 13 września 1996 r. o utrzymaniu czystości i porządku w gminach (</w:t>
      </w:r>
      <w:r w:rsidDel="00000000" w:rsidR="00000000" w:rsidRPr="00000000">
        <w:rPr>
          <w:highlight w:val="yellow"/>
          <w:rtl w:val="0"/>
        </w:rPr>
        <w:t xml:space="preserve">Dz. U. z 2025 r. poz. 733</w:t>
      </w:r>
      <w:r w:rsidDel="00000000" w:rsidR="00000000" w:rsidRPr="00000000">
        <w:rPr>
          <w:rtl w:val="0"/>
        </w:rPr>
        <w:t xml:space="preserve">), do obowiązkowych zadań własnych gminy należy utrzymanie czystości i porządku w gminach.</w:t>
      </w:r>
    </w:p>
    <w:p w:rsidR="00000000" w:rsidDel="00000000" w:rsidP="00000000" w:rsidRDefault="00000000" w:rsidRPr="00000000" w14:paraId="0000000B">
      <w:pPr>
        <w:spacing w:after="0" w:before="120" w:line="240" w:lineRule="auto"/>
        <w:jc w:val="both"/>
        <w:rPr>
          <w:highlight w:val="yellow"/>
        </w:rPr>
      </w:pPr>
      <w:r w:rsidDel="00000000" w:rsidR="00000000" w:rsidRPr="00000000">
        <w:rPr>
          <w:highlight w:val="yellow"/>
          <w:rtl w:val="0"/>
        </w:rPr>
        <w:t xml:space="preserve">Jeśli na formach ochrony przyrody, przedstawić akty powołujące, zakazy itp.</w:t>
      </w:r>
    </w:p>
    <w:p w:rsidR="00000000" w:rsidDel="00000000" w:rsidP="00000000" w:rsidRDefault="00000000" w:rsidRPr="00000000" w14:paraId="0000000C">
      <w:pPr>
        <w:spacing w:after="0" w:before="120" w:line="240" w:lineRule="auto"/>
        <w:jc w:val="both"/>
        <w:rPr>
          <w:highlight w:val="yellow"/>
        </w:rPr>
      </w:pPr>
      <w:r w:rsidDel="00000000" w:rsidR="00000000" w:rsidRPr="00000000">
        <w:rPr>
          <w:highlight w:val="yellow"/>
          <w:rtl w:val="0"/>
        </w:rPr>
        <w:t xml:space="preserve">Zwracamy także uwagę, że działka nr 945 zgodnie z zarządzeniem Regionalnego Dyrektora Ochrony Środowiska w Białymstoku z dnia 6 listopada 2015 r. w sprawie ustanowienia planu zadań ochronnych dla obszaru Natura 2000 Puszcza Białowieska PLC200004 (Dz. U. Woj. Podl., 2015 r. poz. 3600) objęta jest działaniami ochronnymi dla przedmiotu ochrony obszaru Natura 2000 Puszcza Białowieska - orlika krzykliwego (działania nr 26 i 27). Działanie obligatoryjne (nr 26) w celu zachowanie żerowisk gatunku, polega na utrzymaniu dotychczasowego sposobu użytkowania rolniczego (dopuszcza się zmianę gruntów ornych na łąki i pastwiska) i dotyczy gruntów stanowiących żerowisko gatunku do których, zgodnie z załącznikiem nr 7 (arkusz 11) do ww. planu zadań ochronnych należy działka nr 945 w m. Białowieża.  </w:t>
      </w:r>
    </w:p>
    <w:p w:rsidR="00000000" w:rsidDel="00000000" w:rsidP="00000000" w:rsidRDefault="00000000" w:rsidRPr="00000000" w14:paraId="0000000D">
      <w:pPr>
        <w:spacing w:after="0" w:before="120" w:line="240" w:lineRule="auto"/>
        <w:jc w:val="both"/>
        <w:rPr>
          <w:highlight w:val="yellow"/>
        </w:rPr>
      </w:pPr>
      <w:r w:rsidDel="00000000" w:rsidR="00000000" w:rsidRPr="00000000">
        <w:rPr>
          <w:highlight w:val="yellow"/>
          <w:rtl w:val="0"/>
        </w:rPr>
        <w:t xml:space="preserve">Jednocześnie przypominamy, że zgodnie z art. 28 ust. 5 ustawy z dnia 16 kwietnia 2004 r. o ochronie przyrody (Dz. U. z 2026 r. poz. 13, 426) zarządzenie regionalnego dyrektora ochrony środowiska ustanawiający plan zadań ochrony jest aktem prawa miejscowego i przepis ten należy stosować wprost.</w:t>
      </w:r>
    </w:p>
    <w:p w:rsidR="00000000" w:rsidDel="00000000" w:rsidP="00000000" w:rsidRDefault="00000000" w:rsidRPr="00000000" w14:paraId="0000000E">
      <w:pPr>
        <w:spacing w:after="0" w:before="120" w:line="240" w:lineRule="auto"/>
        <w:jc w:val="both"/>
        <w:rPr/>
      </w:pPr>
      <w:r w:rsidDel="00000000" w:rsidR="00000000" w:rsidRPr="00000000">
        <w:rPr>
          <w:rtl w:val="0"/>
        </w:rPr>
        <w:t xml:space="preserve">Wobec powyższego, przekazujemy informację o składowaniu mas ziemnych na działce nr (...) w m. (...), a także wnosimy o podjęcie działań zgodnie z posiadanymi kompetencjami.</w:t>
      </w:r>
    </w:p>
    <w:p w:rsidR="00000000" w:rsidDel="00000000" w:rsidP="00000000" w:rsidRDefault="00000000" w:rsidRPr="00000000" w14:paraId="0000000F">
      <w:pPr>
        <w:spacing w:after="0" w:before="120" w:line="240" w:lineRule="auto"/>
        <w:jc w:val="both"/>
        <w:rPr/>
      </w:pPr>
      <w:r w:rsidDel="00000000" w:rsidR="00000000" w:rsidRPr="00000000">
        <w:rPr>
          <w:rtl w:val="0"/>
        </w:rPr>
        <w:t xml:space="preserve">Jednocześnie biorąc pod uwagę, że działka nr (...) w m. (...) położona jest w bezpośrednim sąsiedztwie rzeki (...), która dalej biegnie przez teren (</w:t>
      </w:r>
      <w:r w:rsidDel="00000000" w:rsidR="00000000" w:rsidRPr="00000000">
        <w:rPr>
          <w:highlight w:val="yellow"/>
          <w:rtl w:val="0"/>
        </w:rPr>
        <w:t xml:space="preserve">opisać zagrożenie</w:t>
      </w:r>
      <w:r w:rsidDel="00000000" w:rsidR="00000000" w:rsidRPr="00000000">
        <w:rPr>
          <w:rtl w:val="0"/>
        </w:rPr>
        <w:t xml:space="preserve">), prosimy o poinformowanie nas o podjętych działaniach.</w:t>
      </w:r>
    </w:p>
    <w:p w:rsidR="00000000" w:rsidDel="00000000" w:rsidP="00000000" w:rsidRDefault="00000000" w:rsidRPr="00000000" w14:paraId="00000010">
      <w:pPr>
        <w:spacing w:after="0" w:before="120" w:line="240" w:lineRule="auto"/>
        <w:jc w:val="both"/>
        <w:rPr/>
      </w:pPr>
      <w:r w:rsidDel="00000000" w:rsidR="00000000" w:rsidRPr="00000000">
        <w:rPr>
          <w:rtl w:val="0"/>
        </w:rPr>
      </w:r>
    </w:p>
    <w:p w:rsidR="00000000" w:rsidDel="00000000" w:rsidP="00000000" w:rsidRDefault="00000000" w:rsidRPr="00000000" w14:paraId="00000011">
      <w:pPr>
        <w:spacing w:after="0" w:before="120" w:line="240" w:lineRule="auto"/>
        <w:jc w:val="both"/>
        <w:rPr/>
      </w:pPr>
      <w:r w:rsidDel="00000000" w:rsidR="00000000" w:rsidRPr="00000000">
        <w:rPr>
          <w:rtl w:val="0"/>
        </w:rPr>
      </w:r>
    </w:p>
    <w:p w:rsidR="00000000" w:rsidDel="00000000" w:rsidP="00000000" w:rsidRDefault="00000000" w:rsidRPr="00000000" w14:paraId="00000012">
      <w:pPr>
        <w:spacing w:after="0" w:before="120" w:line="240" w:lineRule="auto"/>
        <w:jc w:val="both"/>
        <w:rPr/>
      </w:pPr>
      <w:r w:rsidDel="00000000" w:rsidR="00000000" w:rsidRPr="00000000">
        <w:rPr>
          <w:rtl w:val="0"/>
        </w:rPr>
        <w:t xml:space="preserve">Do wiadomości:</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Regionalna Dyrekcja Ochrony Środowiska w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Regionalny Zarząd Gospodarki Wodnej w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Zarząd Województwa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aFPYEbKejU1BE9Nr8IopB7ZRmA==">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